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C9B1" w14:textId="77777777" w:rsidR="00005932" w:rsidRDefault="00000000" w:rsidP="00815676">
      <w:pPr>
        <w:jc w:val="center"/>
        <w:rPr>
          <w:rFonts w:ascii="Arial" w:eastAsia="Arial" w:hAnsi="Arial" w:cs="Arial"/>
          <w:b/>
          <w:color w:val="000000"/>
          <w:sz w:val="32"/>
          <w:szCs w:val="32"/>
        </w:rPr>
      </w:pPr>
      <w:r>
        <w:rPr>
          <w:rFonts w:ascii="-webkit-standard" w:eastAsia="-webkit-standard" w:hAnsi="-webkit-standard" w:cs="-webkit-standard"/>
          <w:noProof/>
          <w:sz w:val="27"/>
          <w:szCs w:val="27"/>
        </w:rPr>
        <mc:AlternateContent>
          <mc:Choice Requires="wps">
            <w:drawing>
              <wp:inline distT="0" distB="0" distL="0" distR="0" wp14:anchorId="2D354A72" wp14:editId="7075C137">
                <wp:extent cx="335915" cy="335915"/>
                <wp:effectExtent l="0" t="0" r="0" b="0"/>
                <wp:docPr id="2056660421" name="Rectángulo 2056660421"/>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59AC15B8"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D354A72" id="Rectángulo 2056660421" o:spid="_x0000_s1026"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sAEAAFs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" filled="f" stroked="f">
                <v:textbox inset="2.53958mm,2.53958mm,2.53958mm,2.53958mm">
                  <w:txbxContent>
                    <w:p w14:paraId="59AC15B8" w14:textId="77777777" w:rsidR="00005932" w:rsidRDefault="00005932">
                      <w:pPr>
                        <w:spacing w:after="0" w:line="240" w:lineRule="auto"/>
                        <w:textDirection w:val="btLr"/>
                      </w:pPr>
                    </w:p>
                  </w:txbxContent>
                </v:textbox>
                <w10:anchorlock/>
              </v:rect>
            </w:pict>
          </mc:Fallback>
        </mc:AlternateContent>
      </w:r>
      <w:r>
        <w:rPr>
          <w:rFonts w:ascii="-webkit-standard" w:eastAsia="-webkit-standard" w:hAnsi="-webkit-standard" w:cs="-webkit-standard"/>
          <w:noProof/>
          <w:sz w:val="27"/>
          <w:szCs w:val="27"/>
        </w:rPr>
        <mc:AlternateContent>
          <mc:Choice Requires="wps">
            <w:drawing>
              <wp:inline distT="0" distB="0" distL="0" distR="0" wp14:anchorId="708257F5" wp14:editId="5375514E">
                <wp:extent cx="335915" cy="335915"/>
                <wp:effectExtent l="0" t="0" r="0" b="0"/>
                <wp:docPr id="2056660420" name="Rectángulo 2056660420"/>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172B47DF"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08257F5" id="Rectángulo 2056660420" o:spid="_x0000_s1027"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6ftAEAAGI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" filled="f" stroked="f">
                <v:textbox inset="2.53958mm,2.53958mm,2.53958mm,2.53958mm">
                  <w:txbxContent>
                    <w:p w14:paraId="172B47DF" w14:textId="77777777" w:rsidR="00005932" w:rsidRDefault="00005932">
                      <w:pPr>
                        <w:spacing w:after="0" w:line="240" w:lineRule="auto"/>
                        <w:textDirection w:val="btLr"/>
                      </w:pPr>
                    </w:p>
                  </w:txbxContent>
                </v:textbox>
                <w10:anchorlock/>
              </v:rect>
            </w:pict>
          </mc:Fallback>
        </mc:AlternateContent>
      </w:r>
    </w:p>
    <w:p w14:paraId="4CFC538D" w14:textId="11C0C7DF" w:rsidR="00295739" w:rsidRPr="000929EA" w:rsidRDefault="00CB4CC3" w:rsidP="00AC2F94">
      <w:pPr>
        <w:ind w:left="1080"/>
        <w:jc w:val="center"/>
        <w:rPr>
          <w:rFonts w:ascii="Arial" w:eastAsia="Arial" w:hAnsi="Arial" w:cs="Arial"/>
          <w:sz w:val="24"/>
          <w:szCs w:val="24"/>
        </w:rPr>
      </w:pPr>
      <w:r w:rsidRPr="00CB4CC3">
        <w:rPr>
          <w:rFonts w:ascii="Arial" w:eastAsia="Arial" w:hAnsi="Arial" w:cs="Arial"/>
          <w:b/>
          <w:color w:val="000000"/>
          <w:sz w:val="28"/>
          <w:szCs w:val="28"/>
        </w:rPr>
        <w:t xml:space="preserve">REGISTRO OBLIGATORIO DE LÍNEAS CELULARES PONE EN RIESGO CONECTIVIDAD Y PRIVACIDAD: </w:t>
      </w:r>
      <w:r w:rsidR="00557770">
        <w:rPr>
          <w:rFonts w:ascii="Arial" w:eastAsia="Arial" w:hAnsi="Arial" w:cs="Arial"/>
          <w:b/>
          <w:color w:val="000000"/>
          <w:sz w:val="28"/>
          <w:szCs w:val="28"/>
        </w:rPr>
        <w:t>PRI EN EL SENADO</w:t>
      </w:r>
    </w:p>
    <w:p w14:paraId="0B0F95B0" w14:textId="2F9F5144" w:rsidR="00CB4CC3" w:rsidRDefault="00CB4CC3" w:rsidP="00CB4CC3">
      <w:pPr>
        <w:pStyle w:val="Prrafodelista"/>
        <w:numPr>
          <w:ilvl w:val="0"/>
          <w:numId w:val="35"/>
        </w:numPr>
        <w:rPr>
          <w:rFonts w:ascii="Arial" w:eastAsia="Arial" w:hAnsi="Arial" w:cs="Arial"/>
          <w:sz w:val="24"/>
          <w:szCs w:val="24"/>
        </w:rPr>
      </w:pPr>
      <w:r w:rsidRPr="00CB4CC3">
        <w:rPr>
          <w:rFonts w:ascii="Arial" w:eastAsia="Arial" w:hAnsi="Arial" w:cs="Arial"/>
          <w:sz w:val="24"/>
          <w:szCs w:val="24"/>
        </w:rPr>
        <w:t>El registro obligatorio de líneas móviles exige hasta 924 mil registros diarios, cifra materialmente inviable.</w:t>
      </w:r>
    </w:p>
    <w:p w14:paraId="174D01BD" w14:textId="77777777" w:rsidR="00CB4CC3" w:rsidRPr="00CB4CC3" w:rsidRDefault="00CB4CC3" w:rsidP="00CB4CC3">
      <w:pPr>
        <w:pStyle w:val="Prrafodelista"/>
        <w:ind w:left="1440"/>
        <w:rPr>
          <w:rFonts w:ascii="Arial" w:eastAsia="Arial" w:hAnsi="Arial" w:cs="Arial"/>
          <w:sz w:val="24"/>
          <w:szCs w:val="24"/>
        </w:rPr>
      </w:pPr>
    </w:p>
    <w:p w14:paraId="7ED9F464" w14:textId="0CB56E11" w:rsidR="00CB4CC3" w:rsidRPr="00CB4CC3" w:rsidRDefault="00CB4CC3" w:rsidP="00CB4CC3">
      <w:pPr>
        <w:pStyle w:val="Prrafodelista"/>
        <w:numPr>
          <w:ilvl w:val="0"/>
          <w:numId w:val="35"/>
        </w:numPr>
        <w:rPr>
          <w:rFonts w:ascii="Arial" w:eastAsia="Arial" w:hAnsi="Arial" w:cs="Arial"/>
          <w:sz w:val="24"/>
          <w:szCs w:val="24"/>
        </w:rPr>
      </w:pPr>
      <w:r w:rsidRPr="00CB4CC3">
        <w:rPr>
          <w:rFonts w:ascii="Arial" w:eastAsia="Arial" w:hAnsi="Arial" w:cs="Arial"/>
          <w:sz w:val="24"/>
          <w:szCs w:val="24"/>
        </w:rPr>
        <w:t>La iniciativa busca extender el plazo a 740 días hábiles para proteger la conectividad y los datos personales.</w:t>
      </w:r>
    </w:p>
    <w:p w14:paraId="3E813BA5" w14:textId="77777777" w:rsidR="00CB4CC3" w:rsidRPr="00295739" w:rsidRDefault="00CB4CC3" w:rsidP="00CB4CC3">
      <w:pPr>
        <w:pStyle w:val="Prrafodelista"/>
        <w:ind w:left="1440"/>
        <w:rPr>
          <w:rFonts w:ascii="Arial" w:eastAsia="Arial" w:hAnsi="Arial" w:cs="Arial"/>
          <w:sz w:val="24"/>
          <w:szCs w:val="24"/>
        </w:rPr>
      </w:pPr>
    </w:p>
    <w:p w14:paraId="7B0F3BF4" w14:textId="77777777" w:rsidR="00295739" w:rsidRPr="00DB70F2" w:rsidRDefault="00295739" w:rsidP="00295739">
      <w:pPr>
        <w:pStyle w:val="Prrafodelista"/>
        <w:ind w:left="1440"/>
        <w:rPr>
          <w:rFonts w:ascii="Arial" w:eastAsia="Arial" w:hAnsi="Arial" w:cs="Arial"/>
          <w:sz w:val="24"/>
          <w:szCs w:val="24"/>
        </w:rPr>
      </w:pPr>
    </w:p>
    <w:p w14:paraId="53E9D1A6" w14:textId="3C5B922B" w:rsidR="00005932" w:rsidRDefault="00000000">
      <w:pPr>
        <w:spacing w:after="0" w:line="240" w:lineRule="auto"/>
        <w:jc w:val="right"/>
        <w:rPr>
          <w:rFonts w:ascii="Arial" w:eastAsia="Arial" w:hAnsi="Arial" w:cs="Arial"/>
          <w:b/>
          <w:color w:val="1D2228"/>
          <w:sz w:val="24"/>
          <w:szCs w:val="24"/>
        </w:rPr>
      </w:pPr>
      <w:r>
        <w:rPr>
          <w:rFonts w:ascii="Arial" w:eastAsia="Arial" w:hAnsi="Arial" w:cs="Arial"/>
          <w:b/>
          <w:color w:val="1D2228"/>
          <w:sz w:val="24"/>
          <w:szCs w:val="24"/>
        </w:rPr>
        <w:t>Boletín/GP</w:t>
      </w:r>
      <w:r w:rsidR="00773DF2">
        <w:rPr>
          <w:rFonts w:ascii="Arial" w:eastAsia="Arial" w:hAnsi="Arial" w:cs="Arial"/>
          <w:b/>
          <w:color w:val="1D2228"/>
          <w:sz w:val="24"/>
          <w:szCs w:val="24"/>
        </w:rPr>
        <w:t>P</w:t>
      </w:r>
      <w:r>
        <w:rPr>
          <w:rFonts w:ascii="Arial" w:eastAsia="Arial" w:hAnsi="Arial" w:cs="Arial"/>
          <w:b/>
          <w:color w:val="1D2228"/>
          <w:sz w:val="24"/>
          <w:szCs w:val="24"/>
        </w:rPr>
        <w:t>RI/No.</w:t>
      </w:r>
      <w:r w:rsidR="0021226C">
        <w:rPr>
          <w:rFonts w:ascii="Arial" w:eastAsia="Arial" w:hAnsi="Arial" w:cs="Arial"/>
          <w:b/>
          <w:color w:val="1D2228"/>
          <w:sz w:val="24"/>
          <w:szCs w:val="24"/>
        </w:rPr>
        <w:t>013</w:t>
      </w:r>
      <w:r w:rsidR="00812D8A">
        <w:rPr>
          <w:rFonts w:ascii="Arial" w:eastAsia="Arial" w:hAnsi="Arial" w:cs="Arial"/>
          <w:b/>
          <w:color w:val="1D2228"/>
          <w:sz w:val="24"/>
          <w:szCs w:val="24"/>
        </w:rPr>
        <w:t xml:space="preserve"> </w:t>
      </w:r>
      <w:r>
        <w:rPr>
          <w:rFonts w:ascii="Arial" w:eastAsia="Arial" w:hAnsi="Arial" w:cs="Arial"/>
          <w:b/>
          <w:color w:val="1D2228"/>
          <w:sz w:val="24"/>
          <w:szCs w:val="24"/>
        </w:rPr>
        <w:t>/LXVI/2</w:t>
      </w:r>
      <w:r w:rsidR="00773DF2">
        <w:rPr>
          <w:rFonts w:ascii="Arial" w:eastAsia="Arial" w:hAnsi="Arial" w:cs="Arial"/>
          <w:b/>
          <w:color w:val="1D2228"/>
          <w:sz w:val="24"/>
          <w:szCs w:val="24"/>
        </w:rPr>
        <w:t>6</w:t>
      </w:r>
    </w:p>
    <w:p w14:paraId="4C1C9CCE" w14:textId="25C8D004" w:rsidR="00005932" w:rsidRDefault="00000000">
      <w:pPr>
        <w:spacing w:after="0" w:line="240" w:lineRule="auto"/>
        <w:jc w:val="right"/>
        <w:rPr>
          <w:rFonts w:ascii="Arial" w:eastAsia="Arial" w:hAnsi="Arial" w:cs="Arial"/>
          <w:color w:val="1D2228"/>
          <w:sz w:val="24"/>
          <w:szCs w:val="24"/>
        </w:rPr>
      </w:pPr>
      <w:r>
        <w:rPr>
          <w:rFonts w:ascii="Arial" w:eastAsia="Arial" w:hAnsi="Arial" w:cs="Arial"/>
          <w:color w:val="1D2228"/>
          <w:sz w:val="24"/>
          <w:szCs w:val="24"/>
        </w:rPr>
        <w:t>Senado de la República, </w:t>
      </w:r>
      <w:r w:rsidR="00CB4CC3">
        <w:rPr>
          <w:rFonts w:ascii="Arial" w:eastAsia="Arial" w:hAnsi="Arial" w:cs="Arial"/>
          <w:color w:val="1D2228"/>
          <w:sz w:val="24"/>
          <w:szCs w:val="24"/>
        </w:rPr>
        <w:t>21</w:t>
      </w:r>
      <w:r w:rsidR="002C327D">
        <w:rPr>
          <w:rFonts w:ascii="Arial" w:eastAsia="Arial" w:hAnsi="Arial" w:cs="Arial"/>
          <w:color w:val="1D2228"/>
          <w:sz w:val="24"/>
          <w:szCs w:val="24"/>
        </w:rPr>
        <w:t xml:space="preserve"> </w:t>
      </w:r>
      <w:r w:rsidR="00387165">
        <w:rPr>
          <w:rFonts w:ascii="Arial" w:eastAsia="Arial" w:hAnsi="Arial" w:cs="Arial"/>
          <w:color w:val="1D2228"/>
          <w:sz w:val="24"/>
          <w:szCs w:val="24"/>
        </w:rPr>
        <w:t xml:space="preserve">de </w:t>
      </w:r>
      <w:r w:rsidR="00213EAF">
        <w:rPr>
          <w:rFonts w:ascii="Arial" w:eastAsia="Arial" w:hAnsi="Arial" w:cs="Arial"/>
          <w:color w:val="1D2228"/>
          <w:sz w:val="24"/>
          <w:szCs w:val="24"/>
        </w:rPr>
        <w:t>enero</w:t>
      </w:r>
      <w:r>
        <w:rPr>
          <w:rFonts w:ascii="Arial" w:eastAsia="Arial" w:hAnsi="Arial" w:cs="Arial"/>
          <w:color w:val="1D2228"/>
          <w:sz w:val="24"/>
          <w:szCs w:val="24"/>
        </w:rPr>
        <w:t xml:space="preserve"> de 202</w:t>
      </w:r>
      <w:r w:rsidR="00213EAF">
        <w:rPr>
          <w:rFonts w:ascii="Arial" w:eastAsia="Arial" w:hAnsi="Arial" w:cs="Arial"/>
          <w:color w:val="1D2228"/>
          <w:sz w:val="24"/>
          <w:szCs w:val="24"/>
        </w:rPr>
        <w:t>6</w:t>
      </w:r>
      <w:r>
        <w:rPr>
          <w:rFonts w:ascii="Arial" w:eastAsia="Arial" w:hAnsi="Arial" w:cs="Arial"/>
          <w:color w:val="1D2228"/>
          <w:sz w:val="24"/>
          <w:szCs w:val="24"/>
        </w:rPr>
        <w:t>.</w:t>
      </w:r>
    </w:p>
    <w:p w14:paraId="0E707124" w14:textId="69C9D8E2" w:rsidR="00B40DF6" w:rsidRPr="00B40DF6" w:rsidRDefault="00B40DF6" w:rsidP="00B40DF6">
      <w:pPr>
        <w:jc w:val="both"/>
        <w:rPr>
          <w:rFonts w:ascii="Arial" w:eastAsia="Arial" w:hAnsi="Arial" w:cs="Arial"/>
          <w:sz w:val="24"/>
          <w:szCs w:val="24"/>
        </w:rPr>
      </w:pPr>
    </w:p>
    <w:p w14:paraId="179C77C7" w14:textId="7E4D8069" w:rsidR="005138A3" w:rsidRDefault="0074673A" w:rsidP="005138A3">
      <w:pPr>
        <w:jc w:val="both"/>
        <w:rPr>
          <w:rFonts w:ascii="Arial" w:eastAsia="Arial" w:hAnsi="Arial" w:cs="Arial"/>
          <w:sz w:val="24"/>
          <w:szCs w:val="24"/>
        </w:rPr>
      </w:pPr>
      <w:r w:rsidRPr="0074673A">
        <w:rPr>
          <w:rFonts w:ascii="Arial" w:eastAsia="Arial" w:hAnsi="Arial" w:cs="Arial"/>
          <w:sz w:val="24"/>
          <w:szCs w:val="24"/>
        </w:rPr>
        <w:t xml:space="preserve">Durante la sesión de la Comisión Permanente, el senador Ángel García Yáñez presentó a nombre del senador Pablo Guillermo Angulo Briceño, </w:t>
      </w:r>
      <w:r>
        <w:rPr>
          <w:rFonts w:ascii="Arial" w:eastAsia="Arial" w:hAnsi="Arial" w:cs="Arial"/>
          <w:sz w:val="24"/>
          <w:szCs w:val="24"/>
        </w:rPr>
        <w:t>del</w:t>
      </w:r>
      <w:r w:rsidRPr="0074673A">
        <w:rPr>
          <w:rFonts w:ascii="Arial" w:eastAsia="Arial" w:hAnsi="Arial" w:cs="Arial"/>
          <w:sz w:val="24"/>
          <w:szCs w:val="24"/>
        </w:rPr>
        <w:t xml:space="preserve"> Partido Revolucionario Institucional</w:t>
      </w:r>
      <w:r w:rsidR="005138A3" w:rsidRPr="005138A3">
        <w:rPr>
          <w:rFonts w:ascii="Arial" w:eastAsia="Arial" w:hAnsi="Arial" w:cs="Arial"/>
          <w:sz w:val="24"/>
          <w:szCs w:val="24"/>
        </w:rPr>
        <w:t>, una iniciativa para reformar el artículo Trigésimo Transitorio de la Ley en Materia de Telecomunicaciones y Radiodifusión. El propósito consiste en ampliar el plazo del registro obligatorio de líneas celulares y prevenir afectaciones graves a millones de personas usuarias, así como riesgos a la privacidad y a la inclusión digital.</w:t>
      </w:r>
    </w:p>
    <w:p w14:paraId="4A55BBD8" w14:textId="77777777" w:rsidR="005138A3" w:rsidRPr="005138A3" w:rsidRDefault="005138A3" w:rsidP="005138A3">
      <w:pPr>
        <w:jc w:val="both"/>
        <w:rPr>
          <w:rFonts w:ascii="Arial" w:eastAsia="Arial" w:hAnsi="Arial" w:cs="Arial"/>
          <w:sz w:val="24"/>
          <w:szCs w:val="24"/>
        </w:rPr>
      </w:pPr>
    </w:p>
    <w:p w14:paraId="68ABBB72" w14:textId="77777777" w:rsidR="005138A3" w:rsidRDefault="005138A3" w:rsidP="005138A3">
      <w:pPr>
        <w:jc w:val="both"/>
        <w:rPr>
          <w:rFonts w:ascii="Arial" w:eastAsia="Arial" w:hAnsi="Arial" w:cs="Arial"/>
          <w:sz w:val="24"/>
          <w:szCs w:val="24"/>
        </w:rPr>
      </w:pPr>
      <w:r w:rsidRPr="005138A3">
        <w:rPr>
          <w:rFonts w:ascii="Arial" w:eastAsia="Arial" w:hAnsi="Arial" w:cs="Arial"/>
          <w:sz w:val="24"/>
          <w:szCs w:val="24"/>
        </w:rPr>
        <w:t>El legislador explicó que la ley vigente busca el registro de entre 158 y 160 millones de líneas móviles en un periodo con cierre en junio de 2026. Este esquema exige alrededor de 924 mil registros diarios, una meta inviable desde el punto de vista técnico y operativo. Esta presión ha generado saturación de plataformas, fallas recurrentes y vulnerabilidades que expusieron datos sensibles de usuarios, advirtió.</w:t>
      </w:r>
    </w:p>
    <w:p w14:paraId="609637F4" w14:textId="77777777" w:rsidR="005138A3" w:rsidRPr="005138A3" w:rsidRDefault="005138A3" w:rsidP="005138A3">
      <w:pPr>
        <w:jc w:val="both"/>
        <w:rPr>
          <w:rFonts w:ascii="Arial" w:eastAsia="Arial" w:hAnsi="Arial" w:cs="Arial"/>
          <w:sz w:val="24"/>
          <w:szCs w:val="24"/>
        </w:rPr>
      </w:pPr>
    </w:p>
    <w:p w14:paraId="1F43006C" w14:textId="77777777" w:rsidR="005138A3" w:rsidRDefault="005138A3" w:rsidP="005138A3">
      <w:pPr>
        <w:jc w:val="both"/>
        <w:rPr>
          <w:rFonts w:ascii="Arial" w:eastAsia="Arial" w:hAnsi="Arial" w:cs="Arial"/>
          <w:sz w:val="24"/>
          <w:szCs w:val="24"/>
        </w:rPr>
      </w:pPr>
      <w:r w:rsidRPr="005138A3">
        <w:rPr>
          <w:rFonts w:ascii="Arial" w:eastAsia="Arial" w:hAnsi="Arial" w:cs="Arial"/>
          <w:sz w:val="24"/>
          <w:szCs w:val="24"/>
        </w:rPr>
        <w:t>Por ello, la iniciativa plantea la ampliación del plazo a 740 días hábiles y la asignación de 90 días naturales a la Comisión Reguladora de Telecomunicaciones para el ajuste de lineamientos. “El combate al delito no puede traducirse en la desconexión de millones ni en la exposición de datos personales. La seguridad debe avanzar con inclusión, legalidad y respeto a los derechos fundamentales”, concluyó.</w:t>
      </w:r>
    </w:p>
    <w:p w14:paraId="18972322" w14:textId="77777777" w:rsidR="005138A3" w:rsidRPr="005138A3" w:rsidRDefault="005138A3" w:rsidP="005138A3">
      <w:pPr>
        <w:jc w:val="both"/>
        <w:rPr>
          <w:rFonts w:ascii="Arial" w:eastAsia="Arial" w:hAnsi="Arial" w:cs="Arial"/>
          <w:sz w:val="24"/>
          <w:szCs w:val="24"/>
        </w:rPr>
      </w:pPr>
    </w:p>
    <w:p w14:paraId="6873FA4F" w14:textId="77777777" w:rsidR="005138A3" w:rsidRDefault="005138A3" w:rsidP="005138A3">
      <w:pPr>
        <w:jc w:val="both"/>
        <w:rPr>
          <w:rFonts w:ascii="Arial" w:eastAsia="Arial" w:hAnsi="Arial" w:cs="Arial"/>
          <w:sz w:val="24"/>
          <w:szCs w:val="24"/>
        </w:rPr>
      </w:pPr>
      <w:r w:rsidRPr="005138A3">
        <w:rPr>
          <w:rFonts w:ascii="Arial" w:eastAsia="Arial" w:hAnsi="Arial" w:cs="Arial"/>
          <w:sz w:val="24"/>
          <w:szCs w:val="24"/>
        </w:rPr>
        <w:lastRenderedPageBreak/>
        <w:t>Recordó que experiencias nacionales e internacionales evidencian los riesgos de plazos rígidos. En México, el Registro Nacional de Usuarios de Telefonía Móvil desapareció tras la comprobación de que no redujo delitos y sí vulneró derechos. En países como Filipinas, solo 49 por ciento de las líneas obtuvo registro en el plazo inicial, situación que forzó una ampliación para prevenir desconexiones masivas y exclusión social.</w:t>
      </w:r>
    </w:p>
    <w:p w14:paraId="1643C54F" w14:textId="77777777" w:rsidR="005138A3" w:rsidRPr="005138A3" w:rsidRDefault="005138A3" w:rsidP="005138A3">
      <w:pPr>
        <w:jc w:val="both"/>
        <w:rPr>
          <w:rFonts w:ascii="Arial" w:eastAsia="Arial" w:hAnsi="Arial" w:cs="Arial"/>
          <w:sz w:val="24"/>
          <w:szCs w:val="24"/>
        </w:rPr>
      </w:pPr>
    </w:p>
    <w:p w14:paraId="4456A90D" w14:textId="10A279B8" w:rsidR="005138A3" w:rsidRPr="005138A3" w:rsidRDefault="001E39C1" w:rsidP="005138A3">
      <w:pPr>
        <w:jc w:val="both"/>
        <w:rPr>
          <w:rFonts w:ascii="Arial" w:eastAsia="Arial" w:hAnsi="Arial" w:cs="Arial"/>
          <w:sz w:val="24"/>
          <w:szCs w:val="24"/>
        </w:rPr>
      </w:pPr>
      <w:r>
        <w:rPr>
          <w:rFonts w:ascii="Arial" w:eastAsia="Arial" w:hAnsi="Arial" w:cs="Arial"/>
          <w:sz w:val="24"/>
          <w:szCs w:val="24"/>
        </w:rPr>
        <w:t>S</w:t>
      </w:r>
      <w:r w:rsidR="005138A3" w:rsidRPr="005138A3">
        <w:rPr>
          <w:rFonts w:ascii="Arial" w:eastAsia="Arial" w:hAnsi="Arial" w:cs="Arial"/>
          <w:sz w:val="24"/>
          <w:szCs w:val="24"/>
        </w:rPr>
        <w:t>ubrayó que organismos como la Unión Internacional de Telecomunicaciones y la GSMA recomiendan plazos graduales, salvaguardas de privacidad y marcos proporcionales. Asociaciones del sector han emitido alertas sobre costos superiores a 4 mil millones de pesos, además de riesgos desproporcionados para comunidades rurales, indígenas y de alta marginación, donde la telefonía móvil constituye un servicio esencial.</w:t>
      </w:r>
    </w:p>
    <w:p w14:paraId="0CAC2617" w14:textId="77777777" w:rsidR="00CF71D3" w:rsidRDefault="00CF71D3" w:rsidP="00DE201F">
      <w:pPr>
        <w:jc w:val="both"/>
        <w:rPr>
          <w:rFonts w:ascii="Arial" w:eastAsia="Arial" w:hAnsi="Arial" w:cs="Arial"/>
          <w:sz w:val="24"/>
          <w:szCs w:val="24"/>
        </w:rPr>
      </w:pPr>
    </w:p>
    <w:p w14:paraId="0E65EE76" w14:textId="2AD48749" w:rsidR="00005932" w:rsidRDefault="00000000" w:rsidP="00812D8A">
      <w:pPr>
        <w:jc w:val="center"/>
        <w:rPr>
          <w:rFonts w:ascii="Arial" w:eastAsia="Arial" w:hAnsi="Arial" w:cs="Arial"/>
          <w:b/>
          <w:color w:val="000000"/>
          <w:sz w:val="20"/>
          <w:szCs w:val="20"/>
        </w:rPr>
      </w:pPr>
      <w:r>
        <w:rPr>
          <w:rFonts w:ascii="Arial" w:eastAsia="Arial" w:hAnsi="Arial" w:cs="Arial"/>
          <w:b/>
          <w:color w:val="000000"/>
          <w:sz w:val="30"/>
          <w:szCs w:val="30"/>
        </w:rPr>
        <w:t>--oOo--</w:t>
      </w:r>
    </w:p>
    <w:p w14:paraId="7779EBF9" w14:textId="77777777" w:rsidR="00005932"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p w14:paraId="1B5E97C3" w14:textId="77777777" w:rsidR="00005932" w:rsidRDefault="00000000">
      <w:pPr>
        <w:spacing w:after="0" w:line="240" w:lineRule="auto"/>
        <w:jc w:val="cente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w:t>
      </w:r>
    </w:p>
    <w:p w14:paraId="16F0C153" w14:textId="3FE9824F" w:rsidR="00005932" w:rsidRDefault="00000000">
      <w:pPr>
        <w:shd w:val="clear" w:color="auto" w:fill="FFFFFF"/>
        <w:jc w:val="center"/>
        <w:rPr>
          <w:rFonts w:ascii="Arial" w:eastAsia="Arial" w:hAnsi="Arial" w:cs="Arial"/>
          <w:b/>
          <w:color w:val="1D2228"/>
          <w:sz w:val="28"/>
          <w:szCs w:val="28"/>
        </w:rPr>
      </w:pPr>
      <w:r>
        <w:rPr>
          <w:noProof/>
        </w:rPr>
        <w:drawing>
          <wp:inline distT="0" distB="0" distL="0" distR="0" wp14:anchorId="56BD0E8D" wp14:editId="2DE422AC">
            <wp:extent cx="4162425" cy="276225"/>
            <wp:effectExtent l="0" t="0" r="0" b="0"/>
            <wp:docPr id="2056660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62425" cy="276225"/>
                    </a:xfrm>
                    <a:prstGeom prst="rect">
                      <a:avLst/>
                    </a:prstGeom>
                    <a:ln/>
                  </pic:spPr>
                </pic:pic>
              </a:graphicData>
            </a:graphic>
          </wp:inline>
        </w:drawing>
      </w:r>
      <w:hyperlink r:id="rId9" w:history="1">
        <w:r w:rsidR="004D6A3E" w:rsidRPr="00A6666D">
          <w:rPr>
            <w:rStyle w:val="Hipervnculo"/>
            <w:rFonts w:ascii="Arial" w:eastAsia="Arial" w:hAnsi="Arial" w:cs="Arial"/>
            <w:b/>
            <w:sz w:val="26"/>
            <w:szCs w:val="26"/>
          </w:rPr>
          <w:t>www.pri.senado.gob.mx</w:t>
        </w:r>
      </w:hyperlink>
    </w:p>
    <w:sectPr w:rsidR="00005932">
      <w:headerReference w:type="default" r:id="rId10"/>
      <w:pgSz w:w="12240" w:h="15840"/>
      <w:pgMar w:top="1979"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36B9A" w14:textId="77777777" w:rsidR="00F377E1" w:rsidRDefault="00F377E1">
      <w:pPr>
        <w:spacing w:after="0" w:line="240" w:lineRule="auto"/>
      </w:pPr>
      <w:r>
        <w:separator/>
      </w:r>
    </w:p>
  </w:endnote>
  <w:endnote w:type="continuationSeparator" w:id="0">
    <w:p w14:paraId="02915416" w14:textId="77777777" w:rsidR="00F377E1" w:rsidRDefault="00F3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B5F8C51-CBC1-4493-A96C-3C7FA5CA5B73}"/>
    <w:embedItalic r:id="rId2" w:fontKey="{02150DCB-0C0A-42F7-9FA8-E60A017CC5C1}"/>
  </w:font>
  <w:font w:name="Calibri Light">
    <w:panose1 w:val="020F0302020204030204"/>
    <w:charset w:val="00"/>
    <w:family w:val="swiss"/>
    <w:pitch w:val="variable"/>
    <w:sig w:usb0="E4002EFF" w:usb1="C200247B" w:usb2="00000009" w:usb3="00000000" w:csb0="000001FF" w:csb1="00000000"/>
    <w:embedRegular r:id="rId3" w:fontKey="{0C61ADE6-B581-4C27-B4FE-66930BD5D6C2}"/>
  </w:font>
  <w:font w:name="Helvetica Neue">
    <w:altName w:val="Arial"/>
    <w:charset w:val="00"/>
    <w:family w:val="auto"/>
    <w:pitch w:val="variable"/>
    <w:sig w:usb0="E50002FF" w:usb1="500079DB" w:usb2="00000010" w:usb3="00000000" w:csb0="00000001" w:csb1="00000000"/>
    <w:embedRegular r:id="rId4" w:fontKey="{1D702A24-1F89-4B63-B3BD-32931A7F46B1}"/>
    <w:embedBold r:id="rId5" w:fontKey="{1C161B7C-86E0-465F-9725-099B8BD0EA5C}"/>
  </w:font>
  <w:font w:name="Arial Unicode MS">
    <w:panose1 w:val="020B0604020202020204"/>
    <w:charset w:val="80"/>
    <w:family w:val="swiss"/>
    <w:pitch w:val="variable"/>
    <w:sig w:usb0="F7FFAFFF" w:usb1="E9DFFFFF" w:usb2="0000003F" w:usb3="00000000" w:csb0="003F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webkit-standar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BE84" w14:textId="77777777" w:rsidR="00F377E1" w:rsidRDefault="00F377E1">
      <w:pPr>
        <w:spacing w:after="0" w:line="240" w:lineRule="auto"/>
      </w:pPr>
      <w:r>
        <w:separator/>
      </w:r>
    </w:p>
  </w:footnote>
  <w:footnote w:type="continuationSeparator" w:id="0">
    <w:p w14:paraId="57AC5D8E" w14:textId="77777777" w:rsidR="00F377E1" w:rsidRDefault="00F37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EEA9"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52400" distB="152400" distL="152400" distR="152400" simplePos="0" relativeHeight="251658240" behindDoc="0" locked="0" layoutInCell="1" hidden="0" allowOverlap="1" wp14:anchorId="51F66E49" wp14:editId="75F1D603">
          <wp:simplePos x="0" y="0"/>
          <wp:positionH relativeFrom="column">
            <wp:posOffset>-285747</wp:posOffset>
          </wp:positionH>
          <wp:positionV relativeFrom="paragraph">
            <wp:posOffset>208277</wp:posOffset>
          </wp:positionV>
          <wp:extent cx="2796540" cy="742950"/>
          <wp:effectExtent l="0" t="0" r="0" b="0"/>
          <wp:wrapSquare wrapText="bothSides" distT="152400" distB="152400" distL="152400" distR="152400"/>
          <wp:docPr id="2056660422"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2796540" cy="742950"/>
                  </a:xfrm>
                  <a:prstGeom prst="rect">
                    <a:avLst/>
                  </a:prstGeom>
                  <a:ln/>
                </pic:spPr>
              </pic:pic>
            </a:graphicData>
          </a:graphic>
        </wp:anchor>
      </w:drawing>
    </w:r>
  </w:p>
  <w:p w14:paraId="26B893E1" w14:textId="77777777" w:rsidR="00005932"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30"/>
        <w:szCs w:val="30"/>
      </w:rPr>
    </w:pPr>
    <w:r>
      <w:rPr>
        <w:rFonts w:ascii="Helvetica Neue" w:eastAsia="Helvetica Neue" w:hAnsi="Helvetica Neue" w:cs="Helvetica Neue"/>
        <w:color w:val="000000"/>
      </w:rPr>
      <w:t xml:space="preserve">                                                                                                                   </w:t>
    </w:r>
    <w:r>
      <w:rPr>
        <w:rFonts w:ascii="Helvetica Neue" w:eastAsia="Helvetica Neue" w:hAnsi="Helvetica Neue" w:cs="Helvetica Neue"/>
        <w:b/>
        <w:color w:val="000000"/>
        <w:sz w:val="30"/>
        <w:szCs w:val="30"/>
      </w:rPr>
      <w:t>COORDINACIÓN DE   COMUNICACIÓN SOCIAL</w:t>
    </w:r>
  </w:p>
  <w:p w14:paraId="120DD7FD"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260"/>
    <w:multiLevelType w:val="hybridMultilevel"/>
    <w:tmpl w:val="BD32C92A"/>
    <w:lvl w:ilvl="0" w:tplc="788874B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EE585F"/>
    <w:multiLevelType w:val="hybridMultilevel"/>
    <w:tmpl w:val="B9CA1D4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082B085F"/>
    <w:multiLevelType w:val="hybridMultilevel"/>
    <w:tmpl w:val="F982BAEA"/>
    <w:lvl w:ilvl="0" w:tplc="2D56BDA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D4638"/>
    <w:multiLevelType w:val="hybridMultilevel"/>
    <w:tmpl w:val="23E8F7F4"/>
    <w:lvl w:ilvl="0" w:tplc="E5E8839A">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0D0C27E0"/>
    <w:multiLevelType w:val="hybridMultilevel"/>
    <w:tmpl w:val="04768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96201"/>
    <w:multiLevelType w:val="hybridMultilevel"/>
    <w:tmpl w:val="FEA0C5C8"/>
    <w:lvl w:ilvl="0" w:tplc="080A0001">
      <w:start w:val="1"/>
      <w:numFmt w:val="bullet"/>
      <w:lvlText w:val=""/>
      <w:lvlJc w:val="left"/>
      <w:pPr>
        <w:ind w:left="1440" w:hanging="360"/>
      </w:pPr>
      <w:rPr>
        <w:rFonts w:ascii="Symbol" w:hAnsi="Symbol" w:hint="default"/>
      </w:rPr>
    </w:lvl>
    <w:lvl w:ilvl="1" w:tplc="43347286">
      <w:numFmt w:val="bullet"/>
      <w:lvlText w:val="•"/>
      <w:lvlJc w:val="left"/>
      <w:pPr>
        <w:ind w:left="2520" w:hanging="720"/>
      </w:pPr>
      <w:rPr>
        <w:rFonts w:ascii="Arial" w:eastAsia="Arial" w:hAnsi="Arial" w:cs="Arial" w:hint="default"/>
        <w:color w:val="auto"/>
        <w:sz w:val="24"/>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33D3616"/>
    <w:multiLevelType w:val="hybridMultilevel"/>
    <w:tmpl w:val="33C2FE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B46A19"/>
    <w:multiLevelType w:val="hybridMultilevel"/>
    <w:tmpl w:val="142C4E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B9B47E9"/>
    <w:multiLevelType w:val="hybridMultilevel"/>
    <w:tmpl w:val="D7CA11A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15:restartNumberingAfterBreak="0">
    <w:nsid w:val="205D35B6"/>
    <w:multiLevelType w:val="multilevel"/>
    <w:tmpl w:val="3888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9D3288"/>
    <w:multiLevelType w:val="hybridMultilevel"/>
    <w:tmpl w:val="70447AB2"/>
    <w:lvl w:ilvl="0" w:tplc="3C107A7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8612A"/>
    <w:multiLevelType w:val="hybridMultilevel"/>
    <w:tmpl w:val="2C261126"/>
    <w:lvl w:ilvl="0" w:tplc="788874B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18E5C69"/>
    <w:multiLevelType w:val="hybridMultilevel"/>
    <w:tmpl w:val="0A7220A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359D0282"/>
    <w:multiLevelType w:val="hybridMultilevel"/>
    <w:tmpl w:val="3E0819F8"/>
    <w:lvl w:ilvl="0" w:tplc="B524BDD6">
      <w:numFmt w:val="bullet"/>
      <w:lvlText w:val=""/>
      <w:lvlJc w:val="left"/>
      <w:pPr>
        <w:ind w:left="144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5F2444C"/>
    <w:multiLevelType w:val="hybridMultilevel"/>
    <w:tmpl w:val="8A4C204E"/>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5" w15:restartNumberingAfterBreak="0">
    <w:nsid w:val="3AA749A5"/>
    <w:multiLevelType w:val="hybridMultilevel"/>
    <w:tmpl w:val="F6386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AAD3FF1"/>
    <w:multiLevelType w:val="hybridMultilevel"/>
    <w:tmpl w:val="85EE61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B0E4EC0"/>
    <w:multiLevelType w:val="hybridMultilevel"/>
    <w:tmpl w:val="A468ADEA"/>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8" w15:restartNumberingAfterBreak="0">
    <w:nsid w:val="3F1415BD"/>
    <w:multiLevelType w:val="hybridMultilevel"/>
    <w:tmpl w:val="6400F1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32102B2"/>
    <w:multiLevelType w:val="hybridMultilevel"/>
    <w:tmpl w:val="1D8020A0"/>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8B7693"/>
    <w:multiLevelType w:val="hybridMultilevel"/>
    <w:tmpl w:val="6C80E046"/>
    <w:lvl w:ilvl="0" w:tplc="E5E8839A">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6405789"/>
    <w:multiLevelType w:val="hybridMultilevel"/>
    <w:tmpl w:val="CFB6398C"/>
    <w:lvl w:ilvl="0" w:tplc="640A5C28">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6584FF9"/>
    <w:multiLevelType w:val="hybridMultilevel"/>
    <w:tmpl w:val="4942E3AA"/>
    <w:lvl w:ilvl="0" w:tplc="1A70A794">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6630578"/>
    <w:multiLevelType w:val="hybridMultilevel"/>
    <w:tmpl w:val="E376BF86"/>
    <w:lvl w:ilvl="0" w:tplc="33EA0A3C">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4" w15:restartNumberingAfterBreak="0">
    <w:nsid w:val="4AC22F78"/>
    <w:multiLevelType w:val="hybridMultilevel"/>
    <w:tmpl w:val="86285612"/>
    <w:lvl w:ilvl="0" w:tplc="FB72020E">
      <w:numFmt w:val="bullet"/>
      <w:lvlText w:val=""/>
      <w:lvlJc w:val="left"/>
      <w:pPr>
        <w:ind w:left="324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4E6D6DA6"/>
    <w:multiLevelType w:val="hybridMultilevel"/>
    <w:tmpl w:val="A230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216621"/>
    <w:multiLevelType w:val="hybridMultilevel"/>
    <w:tmpl w:val="41CEC922"/>
    <w:lvl w:ilvl="0" w:tplc="FCCCC9C0">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AD4531B"/>
    <w:multiLevelType w:val="hybridMultilevel"/>
    <w:tmpl w:val="E67225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8" w15:restartNumberingAfterBreak="0">
    <w:nsid w:val="5CF560B9"/>
    <w:multiLevelType w:val="hybridMultilevel"/>
    <w:tmpl w:val="D826E7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0A73A3F"/>
    <w:multiLevelType w:val="hybridMultilevel"/>
    <w:tmpl w:val="9A2AC8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0" w15:restartNumberingAfterBreak="0">
    <w:nsid w:val="61E72FA3"/>
    <w:multiLevelType w:val="hybridMultilevel"/>
    <w:tmpl w:val="60F066A8"/>
    <w:lvl w:ilvl="0" w:tplc="B524BDD6">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1E52AAC"/>
    <w:multiLevelType w:val="hybridMultilevel"/>
    <w:tmpl w:val="8DAA3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2F42D1"/>
    <w:multiLevelType w:val="hybridMultilevel"/>
    <w:tmpl w:val="36D0292E"/>
    <w:lvl w:ilvl="0" w:tplc="33EA0A3C">
      <w:numFmt w:val="bullet"/>
      <w:lvlText w:val=""/>
      <w:lvlJc w:val="left"/>
      <w:pPr>
        <w:ind w:left="288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E33313E"/>
    <w:multiLevelType w:val="hybridMultilevel"/>
    <w:tmpl w:val="8CBA5C82"/>
    <w:lvl w:ilvl="0" w:tplc="14B0285A">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F6D5EAF"/>
    <w:multiLevelType w:val="hybridMultilevel"/>
    <w:tmpl w:val="64AA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5337358">
    <w:abstractNumId w:val="9"/>
  </w:num>
  <w:num w:numId="2" w16cid:durableId="751315819">
    <w:abstractNumId w:val="31"/>
  </w:num>
  <w:num w:numId="3" w16cid:durableId="781924125">
    <w:abstractNumId w:val="5"/>
  </w:num>
  <w:num w:numId="4" w16cid:durableId="1166826857">
    <w:abstractNumId w:val="18"/>
  </w:num>
  <w:num w:numId="5" w16cid:durableId="691687762">
    <w:abstractNumId w:val="4"/>
  </w:num>
  <w:num w:numId="6" w16cid:durableId="639068723">
    <w:abstractNumId w:val="26"/>
  </w:num>
  <w:num w:numId="7" w16cid:durableId="857964076">
    <w:abstractNumId w:val="16"/>
  </w:num>
  <w:num w:numId="8" w16cid:durableId="846136257">
    <w:abstractNumId w:val="11"/>
  </w:num>
  <w:num w:numId="9" w16cid:durableId="1188979501">
    <w:abstractNumId w:val="0"/>
  </w:num>
  <w:num w:numId="10" w16cid:durableId="546138795">
    <w:abstractNumId w:val="29"/>
  </w:num>
  <w:num w:numId="11" w16cid:durableId="1825387826">
    <w:abstractNumId w:val="12"/>
  </w:num>
  <w:num w:numId="12" w16cid:durableId="1781099241">
    <w:abstractNumId w:val="24"/>
  </w:num>
  <w:num w:numId="13" w16cid:durableId="1421678562">
    <w:abstractNumId w:val="1"/>
  </w:num>
  <w:num w:numId="14" w16cid:durableId="653876434">
    <w:abstractNumId w:val="15"/>
  </w:num>
  <w:num w:numId="15" w16cid:durableId="367032682">
    <w:abstractNumId w:val="21"/>
  </w:num>
  <w:num w:numId="16" w16cid:durableId="1994408932">
    <w:abstractNumId w:val="25"/>
  </w:num>
  <w:num w:numId="17" w16cid:durableId="1462655252">
    <w:abstractNumId w:val="22"/>
  </w:num>
  <w:num w:numId="18" w16cid:durableId="1071081834">
    <w:abstractNumId w:val="27"/>
  </w:num>
  <w:num w:numId="19" w16cid:durableId="710955899">
    <w:abstractNumId w:val="13"/>
  </w:num>
  <w:num w:numId="20" w16cid:durableId="130094226">
    <w:abstractNumId w:val="30"/>
  </w:num>
  <w:num w:numId="21" w16cid:durableId="1506237946">
    <w:abstractNumId w:val="2"/>
  </w:num>
  <w:num w:numId="22" w16cid:durableId="933710553">
    <w:abstractNumId w:val="8"/>
  </w:num>
  <w:num w:numId="23" w16cid:durableId="987587149">
    <w:abstractNumId w:val="3"/>
  </w:num>
  <w:num w:numId="24" w16cid:durableId="399131844">
    <w:abstractNumId w:val="20"/>
  </w:num>
  <w:num w:numId="25" w16cid:durableId="208761379">
    <w:abstractNumId w:val="33"/>
  </w:num>
  <w:num w:numId="26" w16cid:durableId="1853571099">
    <w:abstractNumId w:val="34"/>
  </w:num>
  <w:num w:numId="27" w16cid:durableId="955405197">
    <w:abstractNumId w:val="23"/>
  </w:num>
  <w:num w:numId="28" w16cid:durableId="2027294239">
    <w:abstractNumId w:val="32"/>
  </w:num>
  <w:num w:numId="29" w16cid:durableId="2050033134">
    <w:abstractNumId w:val="17"/>
  </w:num>
  <w:num w:numId="30" w16cid:durableId="742917393">
    <w:abstractNumId w:val="14"/>
  </w:num>
  <w:num w:numId="31" w16cid:durableId="1670333429">
    <w:abstractNumId w:val="19"/>
  </w:num>
  <w:num w:numId="32" w16cid:durableId="2066055150">
    <w:abstractNumId w:val="10"/>
  </w:num>
  <w:num w:numId="33" w16cid:durableId="448167631">
    <w:abstractNumId w:val="7"/>
  </w:num>
  <w:num w:numId="34" w16cid:durableId="1471898000">
    <w:abstractNumId w:val="6"/>
  </w:num>
  <w:num w:numId="35" w16cid:durableId="97421540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32"/>
    <w:rsid w:val="00005932"/>
    <w:rsid w:val="00053C3A"/>
    <w:rsid w:val="000613CA"/>
    <w:rsid w:val="000929EA"/>
    <w:rsid w:val="000C6935"/>
    <w:rsid w:val="00107A53"/>
    <w:rsid w:val="001272A0"/>
    <w:rsid w:val="0016105B"/>
    <w:rsid w:val="0016357C"/>
    <w:rsid w:val="001A4A43"/>
    <w:rsid w:val="001B3F29"/>
    <w:rsid w:val="001E39C1"/>
    <w:rsid w:val="001F5D8C"/>
    <w:rsid w:val="0021041F"/>
    <w:rsid w:val="0021226C"/>
    <w:rsid w:val="00213EAF"/>
    <w:rsid w:val="00255FDB"/>
    <w:rsid w:val="00267182"/>
    <w:rsid w:val="00295739"/>
    <w:rsid w:val="002B3704"/>
    <w:rsid w:val="002C327D"/>
    <w:rsid w:val="003275F1"/>
    <w:rsid w:val="00330328"/>
    <w:rsid w:val="00346081"/>
    <w:rsid w:val="00361309"/>
    <w:rsid w:val="00387165"/>
    <w:rsid w:val="003D4640"/>
    <w:rsid w:val="00406E43"/>
    <w:rsid w:val="004347C6"/>
    <w:rsid w:val="004C06DE"/>
    <w:rsid w:val="004D6A3E"/>
    <w:rsid w:val="005138A3"/>
    <w:rsid w:val="00527356"/>
    <w:rsid w:val="00557770"/>
    <w:rsid w:val="00580704"/>
    <w:rsid w:val="005E20BE"/>
    <w:rsid w:val="006365E1"/>
    <w:rsid w:val="00662573"/>
    <w:rsid w:val="00683B20"/>
    <w:rsid w:val="006A4D83"/>
    <w:rsid w:val="006C17FF"/>
    <w:rsid w:val="006C6AC0"/>
    <w:rsid w:val="00714F3C"/>
    <w:rsid w:val="0072749B"/>
    <w:rsid w:val="0074673A"/>
    <w:rsid w:val="00773DF2"/>
    <w:rsid w:val="0078154C"/>
    <w:rsid w:val="00782D14"/>
    <w:rsid w:val="007C63BF"/>
    <w:rsid w:val="007E243E"/>
    <w:rsid w:val="00812D8A"/>
    <w:rsid w:val="00815676"/>
    <w:rsid w:val="008726EC"/>
    <w:rsid w:val="008A4D4E"/>
    <w:rsid w:val="008C17D3"/>
    <w:rsid w:val="00904679"/>
    <w:rsid w:val="00915673"/>
    <w:rsid w:val="00977FB4"/>
    <w:rsid w:val="009A4450"/>
    <w:rsid w:val="009B5DA7"/>
    <w:rsid w:val="009C62BB"/>
    <w:rsid w:val="00A2183A"/>
    <w:rsid w:val="00A3612C"/>
    <w:rsid w:val="00A43DFF"/>
    <w:rsid w:val="00A832B0"/>
    <w:rsid w:val="00AA3889"/>
    <w:rsid w:val="00AC2F94"/>
    <w:rsid w:val="00B40DF6"/>
    <w:rsid w:val="00B57025"/>
    <w:rsid w:val="00B678BB"/>
    <w:rsid w:val="00B9487B"/>
    <w:rsid w:val="00BB563F"/>
    <w:rsid w:val="00BE41AC"/>
    <w:rsid w:val="00BE459A"/>
    <w:rsid w:val="00BF0C80"/>
    <w:rsid w:val="00BF2EA4"/>
    <w:rsid w:val="00C0201C"/>
    <w:rsid w:val="00C103EA"/>
    <w:rsid w:val="00C4748F"/>
    <w:rsid w:val="00C52E0C"/>
    <w:rsid w:val="00C54CF0"/>
    <w:rsid w:val="00CB4CC3"/>
    <w:rsid w:val="00CF71D3"/>
    <w:rsid w:val="00D07C92"/>
    <w:rsid w:val="00D31396"/>
    <w:rsid w:val="00D9086D"/>
    <w:rsid w:val="00DB2544"/>
    <w:rsid w:val="00DB70F2"/>
    <w:rsid w:val="00DD6815"/>
    <w:rsid w:val="00DE201F"/>
    <w:rsid w:val="00DE6A1C"/>
    <w:rsid w:val="00E26228"/>
    <w:rsid w:val="00E26867"/>
    <w:rsid w:val="00ED1DCF"/>
    <w:rsid w:val="00F377E1"/>
    <w:rsid w:val="00F6280E"/>
    <w:rsid w:val="00F977EE"/>
    <w:rsid w:val="00FF7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D2B7"/>
  <w15:docId w15:val="{FCFAB5CE-38FC-40D6-B513-CB07E08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E3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3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3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7E3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7E3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E3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E3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E3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E3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3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3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343D"/>
    <w:rPr>
      <w:rFonts w:eastAsiaTheme="majorEastAsia" w:cstheme="majorBidi"/>
      <w:color w:val="272727" w:themeColor="text1" w:themeTint="D8"/>
    </w:rPr>
  </w:style>
  <w:style w:type="character" w:customStyle="1" w:styleId="TtuloCar">
    <w:name w:val="Título Car"/>
    <w:basedOn w:val="Fuentedeprrafopredeter"/>
    <w:uiPriority w:val="10"/>
    <w:rsid w:val="007E3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E3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343D"/>
    <w:pPr>
      <w:spacing w:before="160"/>
      <w:jc w:val="center"/>
    </w:pPr>
    <w:rPr>
      <w:i/>
      <w:iCs/>
      <w:color w:val="404040" w:themeColor="text1" w:themeTint="BF"/>
    </w:rPr>
  </w:style>
  <w:style w:type="character" w:customStyle="1" w:styleId="CitaCar">
    <w:name w:val="Cita Car"/>
    <w:basedOn w:val="Fuentedeprrafopredeter"/>
    <w:link w:val="Cita"/>
    <w:uiPriority w:val="29"/>
    <w:rsid w:val="007E343D"/>
    <w:rPr>
      <w:i/>
      <w:iCs/>
      <w:color w:val="404040" w:themeColor="text1" w:themeTint="BF"/>
    </w:rPr>
  </w:style>
  <w:style w:type="paragraph" w:styleId="Prrafodelista">
    <w:name w:val="List Paragraph"/>
    <w:basedOn w:val="Normal"/>
    <w:uiPriority w:val="34"/>
    <w:qFormat/>
    <w:rsid w:val="007E343D"/>
    <w:pPr>
      <w:ind w:left="720"/>
      <w:contextualSpacing/>
    </w:pPr>
  </w:style>
  <w:style w:type="character" w:styleId="nfasisintenso">
    <w:name w:val="Intense Emphasis"/>
    <w:basedOn w:val="Fuentedeprrafopredeter"/>
    <w:uiPriority w:val="21"/>
    <w:qFormat/>
    <w:rsid w:val="007E343D"/>
    <w:rPr>
      <w:i/>
      <w:iCs/>
      <w:color w:val="2F5496" w:themeColor="accent1" w:themeShade="BF"/>
    </w:rPr>
  </w:style>
  <w:style w:type="paragraph" w:styleId="Citadestacada">
    <w:name w:val="Intense Quote"/>
    <w:basedOn w:val="Normal"/>
    <w:next w:val="Normal"/>
    <w:link w:val="CitadestacadaCar"/>
    <w:uiPriority w:val="30"/>
    <w:qFormat/>
    <w:rsid w:val="007E3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E343D"/>
    <w:rPr>
      <w:i/>
      <w:iCs/>
      <w:color w:val="2F5496" w:themeColor="accent1" w:themeShade="BF"/>
    </w:rPr>
  </w:style>
  <w:style w:type="character" w:styleId="Referenciaintensa">
    <w:name w:val="Intense Reference"/>
    <w:basedOn w:val="Fuentedeprrafopredeter"/>
    <w:uiPriority w:val="32"/>
    <w:qFormat/>
    <w:rsid w:val="007E343D"/>
    <w:rPr>
      <w:b/>
      <w:bCs/>
      <w:smallCaps/>
      <w:color w:val="2F5496" w:themeColor="accent1" w:themeShade="BF"/>
      <w:spacing w:val="5"/>
    </w:rPr>
  </w:style>
  <w:style w:type="paragraph" w:customStyle="1" w:styleId="Body">
    <w:name w:val="Body"/>
    <w:rsid w:val="007E34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styleId="Hipervnculo">
    <w:name w:val="Hyperlink"/>
    <w:basedOn w:val="Fuentedeprrafopredeter"/>
    <w:uiPriority w:val="99"/>
    <w:unhideWhenUsed/>
    <w:rsid w:val="007E343D"/>
    <w:rPr>
      <w:color w:val="0563C1" w:themeColor="hyperlink"/>
      <w:u w:val="single"/>
    </w:rPr>
  </w:style>
  <w:style w:type="character" w:styleId="Mencinsinresolver">
    <w:name w:val="Unresolved Mention"/>
    <w:basedOn w:val="Fuentedeprrafopredeter"/>
    <w:uiPriority w:val="99"/>
    <w:semiHidden/>
    <w:unhideWhenUsed/>
    <w:rsid w:val="007E343D"/>
    <w:rPr>
      <w:color w:val="605E5C"/>
      <w:shd w:val="clear" w:color="auto" w:fill="E1DFDD"/>
    </w:rPr>
  </w:style>
  <w:style w:type="paragraph" w:styleId="Encabezado">
    <w:name w:val="header"/>
    <w:basedOn w:val="Normal"/>
    <w:link w:val="EncabezadoCar"/>
    <w:uiPriority w:val="99"/>
    <w:unhideWhenUsed/>
    <w:rsid w:val="00A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D0D"/>
  </w:style>
  <w:style w:type="paragraph" w:styleId="Piedepgina">
    <w:name w:val="footer"/>
    <w:basedOn w:val="Normal"/>
    <w:link w:val="PiedepginaCar"/>
    <w:uiPriority w:val="99"/>
    <w:unhideWhenUsed/>
    <w:rsid w:val="00A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D0D"/>
  </w:style>
  <w:style w:type="paragraph" w:styleId="Sinespaciado">
    <w:name w:val="No Spacing"/>
    <w:uiPriority w:val="1"/>
    <w:qFormat/>
    <w:rsid w:val="000E766F"/>
    <w:pPr>
      <w:spacing w:after="0" w:line="240" w:lineRule="auto"/>
    </w:pPr>
    <w:rPr>
      <w:rFonts w:cs="Times New Roman"/>
    </w:rPr>
  </w:style>
  <w:style w:type="character" w:customStyle="1" w:styleId="bumpedfont15">
    <w:name w:val="bumpedfont15"/>
    <w:basedOn w:val="Fuentedeprrafopredeter"/>
    <w:rsid w:val="00AD253B"/>
  </w:style>
  <w:style w:type="paragraph" w:customStyle="1" w:styleId="s6">
    <w:name w:val="s6"/>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8">
    <w:name w:val="s8"/>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0">
    <w:name w:val="s10"/>
    <w:basedOn w:val="Fuentedeprrafopredeter"/>
    <w:rsid w:val="00405747"/>
  </w:style>
  <w:style w:type="character" w:customStyle="1" w:styleId="apple-converted-space">
    <w:name w:val="apple-converted-space"/>
    <w:basedOn w:val="Fuentedeprrafopredeter"/>
    <w:rsid w:val="00405747"/>
  </w:style>
  <w:style w:type="paragraph" w:customStyle="1" w:styleId="s12">
    <w:name w:val="s12"/>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7461E2"/>
    <w:pPr>
      <w:spacing w:after="0" w:line="240" w:lineRule="auto"/>
    </w:pPr>
    <w:rPr>
      <w:rFonts w:ascii=".AppleSystemUIFont" w:eastAsiaTheme="minorEastAsia" w:hAnsi=".AppleSystemUIFont" w:cs="Times New Roman"/>
      <w:sz w:val="35"/>
      <w:szCs w:val="35"/>
    </w:rPr>
  </w:style>
  <w:style w:type="paragraph" w:customStyle="1" w:styleId="p2">
    <w:name w:val="p2"/>
    <w:basedOn w:val="Normal"/>
    <w:rsid w:val="007461E2"/>
    <w:pPr>
      <w:spacing w:after="0" w:line="240" w:lineRule="auto"/>
    </w:pPr>
    <w:rPr>
      <w:rFonts w:ascii=".AppleSystemUIFont" w:eastAsiaTheme="minorEastAsia" w:hAnsi=".AppleSystemUIFont" w:cs="Times New Roman"/>
      <w:sz w:val="35"/>
      <w:szCs w:val="35"/>
    </w:rPr>
  </w:style>
  <w:style w:type="character" w:customStyle="1" w:styleId="s1">
    <w:name w:val="s1"/>
    <w:basedOn w:val="Fuentedeprrafopredeter"/>
    <w:rsid w:val="007461E2"/>
    <w:rPr>
      <w:rFonts w:ascii="UICTFontTextStyleBody" w:hAnsi="UICTFontTextStyleBody" w:hint="default"/>
      <w:b w:val="0"/>
      <w:bCs w:val="0"/>
      <w:i w:val="0"/>
      <w:iCs w:val="0"/>
      <w:sz w:val="35"/>
      <w:szCs w:val="35"/>
    </w:rPr>
  </w:style>
  <w:style w:type="paragraph" w:customStyle="1" w:styleId="li1">
    <w:name w:val="li1"/>
    <w:basedOn w:val="Normal"/>
    <w:rsid w:val="001A5961"/>
    <w:pPr>
      <w:spacing w:after="0" w:line="240" w:lineRule="auto"/>
    </w:pPr>
    <w:rPr>
      <w:rFonts w:ascii=".AppleSystemUIFont" w:eastAsiaTheme="minorEastAsia" w:hAnsi=".AppleSystemUIFont" w:cs="Times New Roman"/>
      <w:sz w:val="35"/>
      <w:szCs w:val="35"/>
    </w:rPr>
  </w:style>
  <w:style w:type="character" w:customStyle="1" w:styleId="s2">
    <w:name w:val="s2"/>
    <w:basedOn w:val="Fuentedeprrafopredeter"/>
    <w:rsid w:val="003E0D56"/>
    <w:rPr>
      <w:rFonts w:ascii="UICTFontTextStyleBody" w:hAnsi="UICTFontTextStyleBody" w:hint="default"/>
      <w:b w:val="0"/>
      <w:bCs w:val="0"/>
      <w:i w:val="0"/>
      <w:iCs w:val="0"/>
      <w:sz w:val="35"/>
      <w:szCs w:val="35"/>
    </w:rPr>
  </w:style>
  <w:style w:type="paragraph" w:customStyle="1" w:styleId="s3">
    <w:name w:val="s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9">
    <w:name w:val="s9"/>
    <w:basedOn w:val="Fuentedeprrafopredeter"/>
    <w:rsid w:val="006822E0"/>
  </w:style>
  <w:style w:type="paragraph" w:customStyle="1" w:styleId="s13">
    <w:name w:val="s1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5">
    <w:name w:val="s15"/>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6">
    <w:name w:val="s16"/>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CC627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A57568"/>
    <w:pPr>
      <w:spacing w:after="0" w:line="240" w:lineRule="auto"/>
    </w:pPr>
    <w:rPr>
      <w:rFonts w:ascii=".AppleSystemUIFont" w:eastAsiaTheme="minorEastAsia" w:hAnsi=".AppleSystemUIFont" w:cs="Times New Roman"/>
      <w:sz w:val="35"/>
      <w:szCs w:val="35"/>
    </w:rPr>
  </w:style>
  <w:style w:type="paragraph" w:customStyle="1" w:styleId="s7">
    <w:name w:val="s7"/>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1">
    <w:name w:val="s11"/>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4">
    <w:name w:val="s14"/>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7">
    <w:name w:val="s17"/>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8">
    <w:name w:val="s18"/>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9">
    <w:name w:val="s19"/>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4">
    <w:name w:val="s4"/>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0">
    <w:name w:val="s20"/>
    <w:basedOn w:val="Normal"/>
    <w:rsid w:val="0080360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1">
    <w:name w:val="s21"/>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4">
    <w:name w:val="s24"/>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5">
    <w:name w:val="s25"/>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senado.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MSj01ByGqqNrine7lPin+qcXg==">CgMxLjAyDmgudnduaWF6eTg1cWV3OAByITFocWxMMVk0dEhXNERrWTdxTDBFaS0tQzRxUjZSM1VxYg==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409</Words>
  <Characters>2251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Vinicio Ramírez Carrión</dc:creator>
  <cp:lastModifiedBy>Camilo RH</cp:lastModifiedBy>
  <cp:revision>5</cp:revision>
  <dcterms:created xsi:type="dcterms:W3CDTF">2026-01-21T17:49:00Z</dcterms:created>
  <dcterms:modified xsi:type="dcterms:W3CDTF">2026-01-21T22:31:00Z</dcterms:modified>
</cp:coreProperties>
</file>